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A489C1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A84320">
        <w:rPr>
          <w:rFonts w:ascii="Verdana" w:eastAsia="Verdana" w:hAnsi="Verdana"/>
          <w:b/>
          <w:sz w:val="18"/>
          <w:szCs w:val="18"/>
        </w:rPr>
        <w:t xml:space="preserve"> cz.3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2F14F9D9" w:rsidR="00FF237D" w:rsidRPr="004B4087" w:rsidRDefault="00667C2E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667C2E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wyłącznika sterowanego radiem(wraz ze sterownikiem i terminalem komunikacyjnym) bez wymiany słupa SN, w miejscowości Łobudzice, gm. Zelów GPS(51.4433861, 19.2631921)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5942D898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wyłącznika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</w:t>
      </w:r>
      <w:r w:rsidR="00667C2E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8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667C2E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1659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0134673E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419C5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0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D419C5">
        <w:rPr>
          <w:rFonts w:ascii="Verdana" w:hAnsi="Verdana"/>
          <w:b/>
          <w:bCs/>
          <w:color w:val="FF0000"/>
          <w:sz w:val="18"/>
          <w:szCs w:val="18"/>
          <w:lang w:eastAsia="x-none"/>
        </w:rPr>
        <w:t>0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samodopuszczeń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55253E21" w14:textId="3C46809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bookmarkStart w:id="3" w:name="_Hlk216424762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3E2A34">
        <w:rPr>
          <w:rFonts w:ascii="Verdana" w:hAnsi="Verdana"/>
          <w:bCs/>
          <w:color w:val="FF0000"/>
          <w:sz w:val="18"/>
          <w:szCs w:val="18"/>
          <w:lang w:val="x-none" w:eastAsia="x-none"/>
        </w:rPr>
        <w:t>brak</w:t>
      </w:r>
      <w:r w:rsidR="00D419C5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  <w:r w:rsidR="009B37F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  <w:r w:rsidR="000E39F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</w:p>
    <w:bookmarkEnd w:id="3"/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</w:t>
      </w:r>
      <w:r w:rsidRPr="004B4087">
        <w:rPr>
          <w:rFonts w:ascii="Verdana" w:hAnsi="Verdana"/>
          <w:sz w:val="18"/>
          <w:szCs w:val="18"/>
        </w:rPr>
        <w:lastRenderedPageBreak/>
        <w:t xml:space="preserve">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 xml:space="preserve">wyrobów budowlanych (materiałów i urządzeń) wbudowanych w obiekt potwierdzających ich projektowane właściwości użytkowe, </w:t>
      </w:r>
      <w:r w:rsidR="007E76DD" w:rsidRPr="004B4087">
        <w:rPr>
          <w:rFonts w:ascii="Verdana" w:hAnsi="Verdana"/>
          <w:sz w:val="18"/>
          <w:szCs w:val="18"/>
        </w:rPr>
        <w:lastRenderedPageBreak/>
        <w:t>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DE6E7" w14:textId="77777777" w:rsidR="00CB5AA7" w:rsidRDefault="00CB5AA7">
      <w:r>
        <w:separator/>
      </w:r>
    </w:p>
  </w:endnote>
  <w:endnote w:type="continuationSeparator" w:id="0">
    <w:p w14:paraId="1CA504DF" w14:textId="77777777" w:rsidR="00CB5AA7" w:rsidRDefault="00CB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D64C7" w14:textId="77777777" w:rsidR="00CB5AA7" w:rsidRDefault="00CB5AA7">
      <w:r>
        <w:separator/>
      </w:r>
    </w:p>
  </w:footnote>
  <w:footnote w:type="continuationSeparator" w:id="0">
    <w:p w14:paraId="1897C079" w14:textId="77777777" w:rsidR="00CB5AA7" w:rsidRDefault="00CB5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7363B112" w:rsidR="006E5BE4" w:rsidRPr="006B2C28" w:rsidRDefault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A84320">
            <w:rPr>
              <w:rFonts w:asciiTheme="majorHAnsi" w:hAnsiTheme="majorHAnsi"/>
              <w:color w:val="000000" w:themeColor="text1"/>
              <w:sz w:val="14"/>
              <w:szCs w:val="18"/>
            </w:rPr>
            <w:t>00088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A8432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2C9C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1F2D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39FE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C49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4E1C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6E9D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782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22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28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4C5"/>
    <w:rsid w:val="003218D4"/>
    <w:rsid w:val="00321F56"/>
    <w:rsid w:val="003224EC"/>
    <w:rsid w:val="00323072"/>
    <w:rsid w:val="003234A7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1A2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2A3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200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169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2A80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C2E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2949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1A75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3B16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4AB9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5E11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37F5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3D40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0E4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320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241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5D7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D7DD0"/>
    <w:rsid w:val="00BE08BD"/>
    <w:rsid w:val="00BE0F0C"/>
    <w:rsid w:val="00BE26E1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B5AA7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19C5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066F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96E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1275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4C15"/>
    <w:rsid w:val="00EB5877"/>
    <w:rsid w:val="00EB5E52"/>
    <w:rsid w:val="00EB7047"/>
    <w:rsid w:val="00EC01F6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E7DAB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7699C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2C08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cz.3.docx</dmsv2BaseFileName>
    <dmsv2BaseDisplayName xmlns="http://schemas.microsoft.com/sharepoint/v3">Załącznik nr 1.3  do SWZ cz.3</dmsv2BaseDisplayName>
    <dmsv2SWPP2ObjectNumber xmlns="http://schemas.microsoft.com/sharepoint/v3">POST/DYS/OLD/GZ/00088/2026                        </dmsv2SWPP2ObjectNumber>
    <dmsv2SWPP2SumMD5 xmlns="http://schemas.microsoft.com/sharepoint/v3">f712d0eefb7498655e165b7936c043b3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24126542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JEUP5JKVCYQC-1092029480-1186</_dlc_DocId>
    <_dlc_DocIdUrl xmlns="a19cb1c7-c5c7-46d4-85ae-d83685407bba">
      <Url>https://swpp2.dms.gkpge.pl/sites/41/_layouts/15/DocIdRedir.aspx?ID=JEUP5JKVCYQC-1092029480-1186</Url>
      <Description>JEUP5JKVCYQC-1092029480-1186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08A353-6643-49AA-B201-482588C44B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5FC688B2-888F-4088-BC7D-8823FFF3A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940A27-8AE4-4C48-9FA2-52D2AAB467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12E48A-E2E1-4342-B086-E9C8EC49F0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1357</Words>
  <Characters>9772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27</cp:revision>
  <cp:lastPrinted>2011-10-20T15:55:00Z</cp:lastPrinted>
  <dcterms:created xsi:type="dcterms:W3CDTF">2025-03-03T08:26:00Z</dcterms:created>
  <dcterms:modified xsi:type="dcterms:W3CDTF">2026-01-15T08:46:00Z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ca5b0fdb-8234-4f7f-ab22-193f4cb2329b</vt:lpwstr>
  </property>
</Properties>
</file>